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карьера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карьера на государственной гражданской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«Профессиональная карьера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карьера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«Профессиональная карьера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17.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изучения карьеры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карьеры</w:t>
            </w:r>
          </w:p>
          <w:p>
            <w:pPr>
              <w:jc w:val="both"/>
              <w:spacing w:after="0" w:line="240" w:lineRule="auto"/>
              <w:rPr>
                <w:sz w:val="24"/>
                <w:szCs w:val="24"/>
              </w:rPr>
            </w:pPr>
            <w:r>
              <w:rPr>
                <w:rFonts w:ascii="Times New Roman" w:hAnsi="Times New Roman" w:cs="Times New Roman"/>
                <w:color w:val="#000000"/>
                <w:sz w:val="24"/>
                <w:szCs w:val="24"/>
              </w:rPr>
              <w:t> Кадровый резерв как способ планирования карьеры</w:t>
            </w:r>
          </w:p>
          <w:p>
            <w:pPr>
              <w:jc w:val="both"/>
              <w:spacing w:after="0" w:line="240" w:lineRule="auto"/>
              <w:rPr>
                <w:sz w:val="24"/>
                <w:szCs w:val="24"/>
              </w:rPr>
            </w:pPr>
            <w:r>
              <w:rPr>
                <w:rFonts w:ascii="Times New Roman" w:hAnsi="Times New Roman" w:cs="Times New Roman"/>
                <w:color w:val="#000000"/>
                <w:sz w:val="24"/>
                <w:szCs w:val="24"/>
              </w:rPr>
              <w:t> Специфика построения карьеры в органах власти за рубежом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карьеры государственных и муниципальных служащих</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и муниципальной службы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стратегия организации и планирование карьеры персонала.</w:t>
            </w:r>
          </w:p>
          <w:p>
            <w:pPr>
              <w:jc w:val="both"/>
              <w:spacing w:after="0" w:line="240" w:lineRule="auto"/>
              <w:rPr>
                <w:sz w:val="24"/>
                <w:szCs w:val="24"/>
              </w:rPr>
            </w:pPr>
            <w:r>
              <w:rPr>
                <w:rFonts w:ascii="Times New Roman" w:hAnsi="Times New Roman" w:cs="Times New Roman"/>
                <w:color w:val="#000000"/>
                <w:sz w:val="24"/>
                <w:szCs w:val="24"/>
              </w:rPr>
              <w:t> Анализ и оценка кадрового и карьерного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Ресурсные возможности организации для развития карьеры персонала.</w:t>
            </w:r>
          </w:p>
          <w:p>
            <w:pPr>
              <w:jc w:val="both"/>
              <w:spacing w:after="0" w:line="240" w:lineRule="auto"/>
              <w:rPr>
                <w:sz w:val="24"/>
                <w:szCs w:val="24"/>
              </w:rPr>
            </w:pPr>
            <w:r>
              <w:rPr>
                <w:rFonts w:ascii="Times New Roman" w:hAnsi="Times New Roman" w:cs="Times New Roman"/>
                <w:color w:val="#000000"/>
                <w:sz w:val="24"/>
                <w:szCs w:val="24"/>
              </w:rPr>
              <w:t>  Структура карьерных планов.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база и принципы профессионального развития государственных и муниципальных служащих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подготовки государственных и муниципальных служащих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профессионального развития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муниципального служащего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аттестация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подготовки, переподготовки и повышения квалификации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государственных служащих в РФ. Испытание при замещении государственной должности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особенности трудовой карьеры государственных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и вертикальная карьера госслужащих</w:t>
            </w:r>
          </w:p>
          <w:p>
            <w:pPr>
              <w:jc w:val="both"/>
              <w:spacing w:after="0" w:line="240" w:lineRule="auto"/>
              <w:rPr>
                <w:sz w:val="24"/>
                <w:szCs w:val="24"/>
              </w:rPr>
            </w:pPr>
            <w:r>
              <w:rPr>
                <w:rFonts w:ascii="Times New Roman" w:hAnsi="Times New Roman" w:cs="Times New Roman"/>
                <w:color w:val="#000000"/>
                <w:sz w:val="24"/>
                <w:szCs w:val="24"/>
              </w:rPr>
              <w:t> Факторы трудовой карьеры государственных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Сравнительный анализ трудовой карьеры государственных (муниципальных) служащих и специалистов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карьера на государственной гражданской и муниципальной службе»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https://urait.ru/bcode/469447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Султанова,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http://www.iprbookshop.ru/111609.html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2023-2024_ФГОС3++2023_Бак-ОФО-ГМУ(ГМС)(23)_plx_Профессиональная карьера на государственной гражданской и муниципальной службе</dc:title>
  <dc:creator>FastReport.NET</dc:creator>
</cp:coreProperties>
</file>